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5A" w:rsidRPr="00ED38CB" w:rsidRDefault="00DE285A" w:rsidP="00DE285A">
      <w:pPr>
        <w:jc w:val="center"/>
        <w:rPr>
          <w:color w:val="000000" w:themeColor="text1"/>
        </w:rPr>
      </w:pPr>
      <w:r w:rsidRPr="00ED38CB">
        <w:rPr>
          <w:color w:val="000000" w:themeColor="text1"/>
        </w:rPr>
        <w:t>Unethical Advertiser: MEXX</w:t>
      </w:r>
    </w:p>
    <w:p w:rsidR="00DE285A" w:rsidRPr="00ED38CB" w:rsidRDefault="00DE285A" w:rsidP="00DE285A">
      <w:pPr>
        <w:rPr>
          <w:color w:val="000000" w:themeColor="text1"/>
        </w:rPr>
      </w:pPr>
    </w:p>
    <w:p w:rsidR="00D05829" w:rsidRPr="00ED38CB" w:rsidRDefault="00D05829" w:rsidP="00D05829">
      <w:pPr>
        <w:jc w:val="center"/>
        <w:rPr>
          <w:color w:val="000000" w:themeColor="text1"/>
        </w:rPr>
      </w:pPr>
      <w:hyperlink r:id="rId6" w:history="1">
        <w:r w:rsidRPr="00ED38CB">
          <w:rPr>
            <w:rStyle w:val="Hyperlink"/>
            <w:color w:val="000000" w:themeColor="text1"/>
          </w:rPr>
          <w:t>http://childhealthsafety.wordpress.com/graphs/</w:t>
        </w:r>
      </w:hyperlink>
    </w:p>
    <w:p w:rsidR="00D05829" w:rsidRPr="00ED38CB" w:rsidRDefault="00D05829" w:rsidP="00D05829">
      <w:pPr>
        <w:rPr>
          <w:rFonts w:cs="Arial"/>
          <w:color w:val="000000" w:themeColor="text1"/>
          <w:shd w:val="clear" w:color="auto" w:fill="FFFFFF"/>
        </w:rPr>
      </w:pPr>
      <w:r w:rsidRPr="00ED38CB">
        <w:rPr>
          <w:color w:val="000000" w:themeColor="text1"/>
        </w:rPr>
        <w:t xml:space="preserve">This article provides interesting speculation at the ethnicity of empirical data that vaccines provided to African Children are not as efficient as other forms of aid.  </w:t>
      </w:r>
      <w:r w:rsidRPr="00ED38CB">
        <w:rPr>
          <w:color w:val="000000" w:themeColor="text1"/>
        </w:rPr>
        <w:br/>
      </w:r>
      <w:r w:rsidRPr="00ED38CB">
        <w:rPr>
          <w:color w:val="000000" w:themeColor="text1"/>
        </w:rPr>
        <w:tab/>
        <w:t>“</w:t>
      </w:r>
      <w:r w:rsidRPr="00ED38CB">
        <w:rPr>
          <w:rFonts w:cs="Arial"/>
          <w:color w:val="000000" w:themeColor="text1"/>
          <w:shd w:val="clear" w:color="auto" w:fill="FFFFFF"/>
        </w:rPr>
        <w:t>These children need proper food, clean water to drink and wash in and sanitation.  We give them vaccines instead.</w:t>
      </w:r>
      <w:r w:rsidRPr="00ED38CB">
        <w:rPr>
          <w:rFonts w:cs="Arial"/>
          <w:color w:val="000000" w:themeColor="text1"/>
          <w:shd w:val="clear" w:color="auto" w:fill="FFFFFF"/>
        </w:rPr>
        <w:t xml:space="preserve">” </w:t>
      </w:r>
    </w:p>
    <w:p w:rsidR="00D05829" w:rsidRPr="00ED38CB" w:rsidRDefault="00D05829" w:rsidP="00D05829">
      <w:pPr>
        <w:pStyle w:val="NormalWeb"/>
        <w:shd w:val="clear" w:color="auto" w:fill="FFFFFF"/>
        <w:spacing w:before="0" w:beforeAutospacing="0" w:after="0" w:afterAutospacing="0" w:line="270" w:lineRule="atLeast"/>
        <w:rPr>
          <w:rFonts w:asciiTheme="minorHAnsi" w:hAnsiTheme="minorHAnsi" w:cs="Arial"/>
          <w:color w:val="000000" w:themeColor="text1"/>
          <w:sz w:val="22"/>
          <w:szCs w:val="22"/>
        </w:rPr>
      </w:pPr>
      <w:r w:rsidRPr="00ED38CB">
        <w:rPr>
          <w:rFonts w:asciiTheme="minorHAnsi" w:hAnsiTheme="minorHAnsi" w:cs="Arial"/>
          <w:color w:val="000000" w:themeColor="text1"/>
          <w:sz w:val="22"/>
          <w:szCs w:val="22"/>
          <w:shd w:val="clear" w:color="auto" w:fill="FFFFFF"/>
        </w:rPr>
        <w:tab/>
      </w:r>
      <w:r w:rsidRPr="00ED38CB">
        <w:rPr>
          <w:rFonts w:asciiTheme="minorHAnsi" w:hAnsiTheme="minorHAnsi" w:cs="Arial"/>
          <w:color w:val="000000" w:themeColor="text1"/>
          <w:sz w:val="22"/>
          <w:szCs w:val="22"/>
        </w:rPr>
        <w:t>Small-Pox Epidemics, Cost, and Fatality Rates Compared</w:t>
      </w:r>
    </w:p>
    <w:tbl>
      <w:tblPr>
        <w:tblW w:w="67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8"/>
        <w:gridCol w:w="1510"/>
        <w:gridCol w:w="821"/>
        <w:gridCol w:w="1007"/>
        <w:gridCol w:w="1082"/>
        <w:gridCol w:w="1162"/>
      </w:tblGrid>
      <w:tr w:rsidR="00ED38CB" w:rsidRPr="00D05829" w:rsidTr="00D05829">
        <w:tc>
          <w:tcPr>
            <w:tcW w:w="1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40" w:lineRule="auto"/>
              <w:rPr>
                <w:rFonts w:eastAsia="Times New Roman" w:cs="Arial"/>
                <w:color w:val="000000" w:themeColor="text1"/>
                <w:lang w:eastAsia="en-US"/>
              </w:rPr>
            </w:pP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proofErr w:type="spellStart"/>
            <w:r w:rsidRPr="00D05829">
              <w:rPr>
                <w:rFonts w:eastAsia="Times New Roman" w:cs="Times New Roman"/>
                <w:color w:val="000000" w:themeColor="text1"/>
                <w:lang w:eastAsia="en-US"/>
              </w:rPr>
              <w:t>Vaccinal</w:t>
            </w:r>
            <w:proofErr w:type="spellEnd"/>
            <w:r w:rsidRPr="00D05829">
              <w:rPr>
                <w:rFonts w:eastAsia="Times New Roman" w:cs="Times New Roman"/>
                <w:color w:val="000000" w:themeColor="text1"/>
                <w:lang w:eastAsia="en-US"/>
              </w:rPr>
              <w:t xml:space="preserve"> Condition</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Small-Pox Cases</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Small-Pox Deaths</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Fatality-rate Per Cent</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Cost of Epidemic</w:t>
            </w:r>
          </w:p>
        </w:tc>
      </w:tr>
      <w:tr w:rsidR="00ED38CB" w:rsidRPr="00D05829" w:rsidTr="00D05829">
        <w:tc>
          <w:tcPr>
            <w:tcW w:w="17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London 1900-02</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Well Vaccinated</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9,659</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1,594</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16.50</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£492,000</w:t>
            </w:r>
          </w:p>
        </w:tc>
      </w:tr>
      <w:tr w:rsidR="00ED38CB" w:rsidRPr="00D05829" w:rsidTr="00D05829">
        <w:tc>
          <w:tcPr>
            <w:tcW w:w="17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Glasgow 1900-02</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Well Vaccinated</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3,417</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377</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11.03</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£ 150,000</w:t>
            </w:r>
          </w:p>
        </w:tc>
      </w:tr>
      <w:tr w:rsidR="00ED38CB" w:rsidRPr="00D05829" w:rsidTr="00D05829">
        <w:tc>
          <w:tcPr>
            <w:tcW w:w="17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Sheffield 1887-88</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Well Vaccinated</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7,066</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688</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9.73</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£32,257</w:t>
            </w:r>
          </w:p>
        </w:tc>
      </w:tr>
      <w:tr w:rsidR="00ED38CB" w:rsidRPr="00D05829" w:rsidTr="00D05829">
        <w:tc>
          <w:tcPr>
            <w:tcW w:w="17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Leicester 1892-94</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Practically Unvaccinated</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393</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21</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5.34</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Times New Roman"/>
                <w:color w:val="000000" w:themeColor="text1"/>
                <w:lang w:eastAsia="en-US"/>
              </w:rPr>
            </w:pPr>
            <w:r w:rsidRPr="00D05829">
              <w:rPr>
                <w:rFonts w:eastAsia="Times New Roman" w:cs="Times New Roman"/>
                <w:color w:val="000000" w:themeColor="text1"/>
                <w:lang w:eastAsia="en-US"/>
              </w:rPr>
              <w:t>£2,888</w:t>
            </w:r>
          </w:p>
        </w:tc>
      </w:tr>
      <w:tr w:rsidR="00ED38CB" w:rsidRPr="00D05829" w:rsidTr="00D05829">
        <w:tc>
          <w:tcPr>
            <w:tcW w:w="17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Arial"/>
                <w:color w:val="000000" w:themeColor="text1"/>
                <w:lang w:eastAsia="en-US"/>
              </w:rPr>
            </w:pPr>
            <w:r w:rsidRPr="00D05829">
              <w:rPr>
                <w:rFonts w:eastAsia="Times New Roman" w:cs="Arial"/>
                <w:color w:val="000000" w:themeColor="text1"/>
                <w:lang w:eastAsia="en-US"/>
              </w:rPr>
              <w:t>Leicester 1902-04</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Arial"/>
                <w:color w:val="000000" w:themeColor="text1"/>
                <w:lang w:eastAsia="en-US"/>
              </w:rPr>
            </w:pPr>
            <w:r w:rsidRPr="00D05829">
              <w:rPr>
                <w:rFonts w:eastAsia="Times New Roman" w:cs="Arial"/>
                <w:color w:val="000000" w:themeColor="text1"/>
                <w:lang w:eastAsia="en-US"/>
              </w:rPr>
              <w:t>Practically Unvaccinated</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Arial"/>
                <w:color w:val="000000" w:themeColor="text1"/>
                <w:lang w:eastAsia="en-US"/>
              </w:rPr>
            </w:pPr>
            <w:r w:rsidRPr="00D05829">
              <w:rPr>
                <w:rFonts w:eastAsia="Times New Roman" w:cs="Arial"/>
                <w:color w:val="000000" w:themeColor="text1"/>
                <w:lang w:eastAsia="en-US"/>
              </w:rPr>
              <w:t>731</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Arial"/>
                <w:color w:val="000000" w:themeColor="text1"/>
                <w:lang w:eastAsia="en-US"/>
              </w:rPr>
            </w:pPr>
            <w:r w:rsidRPr="00D05829">
              <w:rPr>
                <w:rFonts w:eastAsia="Times New Roman" w:cs="Arial"/>
                <w:color w:val="000000" w:themeColor="text1"/>
                <w:lang w:eastAsia="en-US"/>
              </w:rPr>
              <w:t>30</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Arial"/>
                <w:color w:val="000000" w:themeColor="text1"/>
                <w:lang w:eastAsia="en-US"/>
              </w:rPr>
            </w:pPr>
            <w:r w:rsidRPr="00D05829">
              <w:rPr>
                <w:rFonts w:eastAsia="Times New Roman" w:cs="Arial"/>
                <w:color w:val="000000" w:themeColor="text1"/>
                <w:lang w:eastAsia="en-US"/>
              </w:rPr>
              <w:t>4.10</w:t>
            </w:r>
          </w:p>
        </w:tc>
        <w:tc>
          <w:tcPr>
            <w:tcW w:w="14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05829" w:rsidRPr="00D05829" w:rsidRDefault="00D05829" w:rsidP="00D05829">
            <w:pPr>
              <w:spacing w:after="0" w:line="270" w:lineRule="atLeast"/>
              <w:jc w:val="center"/>
              <w:rPr>
                <w:rFonts w:eastAsia="Times New Roman" w:cs="Arial"/>
                <w:color w:val="000000" w:themeColor="text1"/>
                <w:lang w:eastAsia="en-US"/>
              </w:rPr>
            </w:pPr>
            <w:r w:rsidRPr="00D05829">
              <w:rPr>
                <w:rFonts w:eastAsia="Times New Roman" w:cs="Arial"/>
                <w:color w:val="000000" w:themeColor="text1"/>
                <w:lang w:eastAsia="en-US"/>
              </w:rPr>
              <w:t>£1,602</w:t>
            </w:r>
          </w:p>
        </w:tc>
      </w:tr>
    </w:tbl>
    <w:p w:rsidR="00D05829" w:rsidRPr="00ED38CB" w:rsidRDefault="00D05829" w:rsidP="00D05829">
      <w:pPr>
        <w:jc w:val="center"/>
        <w:rPr>
          <w:color w:val="000000" w:themeColor="text1"/>
        </w:rPr>
      </w:pPr>
    </w:p>
    <w:p w:rsidR="00D05829" w:rsidRDefault="00ED38CB" w:rsidP="00D05829">
      <w:pPr>
        <w:rPr>
          <w:color w:val="000000" w:themeColor="text1"/>
        </w:rPr>
      </w:pPr>
      <w:r w:rsidRPr="00ED38CB">
        <w:rPr>
          <w:color w:val="000000" w:themeColor="text1"/>
        </w:rPr>
        <w:t>Practically u</w:t>
      </w:r>
      <w:r w:rsidR="00D05829" w:rsidRPr="00ED38CB">
        <w:rPr>
          <w:color w:val="000000" w:themeColor="text1"/>
        </w:rPr>
        <w:t>nvaccinated patients fatality rates decrease, the cost of the epidemic is far less, and the number of small pox cases in also far less.</w:t>
      </w:r>
      <w:r w:rsidRPr="00ED38CB">
        <w:rPr>
          <w:color w:val="000000" w:themeColor="text1"/>
        </w:rPr>
        <w:br/>
      </w:r>
      <w:r w:rsidR="00D05829" w:rsidRPr="00ED38CB">
        <w:rPr>
          <w:color w:val="000000" w:themeColor="text1"/>
        </w:rPr>
        <w:br/>
        <w:t xml:space="preserve">Keep in mind, that Leicester is a much smaller population and not as densely populated as London or Glasgow.  People living closer to one another carry the greater risk of </w:t>
      </w:r>
      <w:r w:rsidR="00EB304D">
        <w:rPr>
          <w:color w:val="000000" w:themeColor="text1"/>
        </w:rPr>
        <w:br/>
      </w:r>
      <w:r w:rsidRPr="00ED38CB">
        <w:rPr>
          <w:color w:val="000000" w:themeColor="text1"/>
        </w:rPr>
        <w:br/>
        <w:t xml:space="preserve">In fact, this website provides plenty of sources to confirm that is true.  </w:t>
      </w:r>
    </w:p>
    <w:p w:rsidR="00EB304D" w:rsidRPr="00ED38CB" w:rsidRDefault="00EB304D" w:rsidP="00D05829">
      <w:pPr>
        <w:rPr>
          <w:color w:val="000000" w:themeColor="text1"/>
        </w:rPr>
      </w:pPr>
      <w:hyperlink r:id="rId7" w:anchor="_ftnref20" w:history="1">
        <w:r>
          <w:rPr>
            <w:rStyle w:val="Hyperlink"/>
          </w:rPr>
          <w:t>http://www.uniteforsight.org/global-health-university/urban-rural-health#_ftnref20</w:t>
        </w:r>
      </w:hyperlink>
    </w:p>
    <w:p w:rsidR="00ED38CB" w:rsidRPr="00ED38CB" w:rsidRDefault="00EB304D" w:rsidP="00D05829">
      <w:pPr>
        <w:rPr>
          <w:color w:val="000000" w:themeColor="text1"/>
        </w:rPr>
      </w:pPr>
      <w:r>
        <w:rPr>
          <w:rFonts w:cs="Arial"/>
          <w:color w:val="000000" w:themeColor="text1"/>
          <w:shd w:val="clear" w:color="auto" w:fill="FFFFFF"/>
        </w:rPr>
        <w:t>“</w:t>
      </w:r>
      <w:r w:rsidR="00ED38CB" w:rsidRPr="00ED38CB">
        <w:rPr>
          <w:rFonts w:cs="Arial"/>
          <w:color w:val="000000" w:themeColor="text1"/>
          <w:shd w:val="clear" w:color="auto" w:fill="FFFFFF"/>
        </w:rPr>
        <w:t>There is an underlying assumption that urban populations will be healthier than their rural counterparts and that urbanization equates with modernization.  However, this is rarely true.  Research about the features of urban areas that influence health has been relatively sparse but often indicates increased health hazards.</w:t>
      </w:r>
      <w:bookmarkStart w:id="0" w:name="_ftnref20"/>
      <w:r w:rsidR="00ED38CB" w:rsidRPr="00ED38CB">
        <w:rPr>
          <w:color w:val="000000" w:themeColor="text1"/>
        </w:rPr>
        <w:fldChar w:fldCharType="begin"/>
      </w:r>
      <w:r w:rsidR="00ED38CB" w:rsidRPr="00ED38CB">
        <w:rPr>
          <w:color w:val="000000" w:themeColor="text1"/>
        </w:rPr>
        <w:instrText xml:space="preserve"> HYPERLINK "http://www.uniteforsight.org/global-health-university/urban-rural-health" \l "_ftn20" \o "" </w:instrText>
      </w:r>
      <w:r w:rsidR="00ED38CB" w:rsidRPr="00ED38CB">
        <w:rPr>
          <w:color w:val="000000" w:themeColor="text1"/>
        </w:rPr>
        <w:fldChar w:fldCharType="separate"/>
      </w:r>
      <w:r w:rsidR="00ED38CB" w:rsidRPr="00ED38CB">
        <w:rPr>
          <w:rStyle w:val="Hyperlink"/>
          <w:rFonts w:cs="Arial"/>
          <w:color w:val="000000" w:themeColor="text1"/>
          <w:shd w:val="clear" w:color="auto" w:fill="FFFFFF"/>
        </w:rPr>
        <w:t>(20)</w:t>
      </w:r>
      <w:r w:rsidR="00ED38CB" w:rsidRPr="00ED38CB">
        <w:rPr>
          <w:color w:val="000000" w:themeColor="text1"/>
        </w:rPr>
        <w:fldChar w:fldCharType="end"/>
      </w:r>
      <w:bookmarkEnd w:id="0"/>
      <w:r>
        <w:rPr>
          <w:rFonts w:cs="Arial"/>
          <w:color w:val="000000" w:themeColor="text1"/>
          <w:shd w:val="clear" w:color="auto" w:fill="FFFFFF"/>
        </w:rPr>
        <w:t>”</w:t>
      </w:r>
    </w:p>
    <w:p w:rsidR="00EB304D" w:rsidRPr="00EB304D" w:rsidRDefault="00ED38CB" w:rsidP="00D05829">
      <w:pPr>
        <w:rPr>
          <w:rFonts w:cs="Arial"/>
          <w:color w:val="000000" w:themeColor="text1"/>
          <w:shd w:val="clear" w:color="auto" w:fill="FFFFFF"/>
        </w:rPr>
      </w:pPr>
      <w:r w:rsidRPr="00ED38CB">
        <w:rPr>
          <w:rFonts w:cs="Arial"/>
          <w:color w:val="000000" w:themeColor="text1"/>
          <w:shd w:val="clear" w:color="auto" w:fill="FFFFFF"/>
        </w:rPr>
        <w:t xml:space="preserve">Judd FK, Jackson HJ, </w:t>
      </w:r>
      <w:proofErr w:type="spellStart"/>
      <w:r w:rsidRPr="00ED38CB">
        <w:rPr>
          <w:rFonts w:cs="Arial"/>
          <w:color w:val="000000" w:themeColor="text1"/>
          <w:shd w:val="clear" w:color="auto" w:fill="FFFFFF"/>
        </w:rPr>
        <w:t>Komiti</w:t>
      </w:r>
      <w:proofErr w:type="spellEnd"/>
      <w:r w:rsidRPr="00ED38CB">
        <w:rPr>
          <w:rFonts w:cs="Arial"/>
          <w:color w:val="000000" w:themeColor="text1"/>
          <w:shd w:val="clear" w:color="auto" w:fill="FFFFFF"/>
        </w:rPr>
        <w:t xml:space="preserve"> A, Murray G, </w:t>
      </w:r>
      <w:proofErr w:type="spellStart"/>
      <w:r w:rsidRPr="00ED38CB">
        <w:rPr>
          <w:rFonts w:cs="Arial"/>
          <w:color w:val="000000" w:themeColor="text1"/>
          <w:shd w:val="clear" w:color="auto" w:fill="FFFFFF"/>
        </w:rPr>
        <w:t>Hodgins</w:t>
      </w:r>
      <w:proofErr w:type="spellEnd"/>
      <w:r w:rsidRPr="00ED38CB">
        <w:rPr>
          <w:rFonts w:cs="Arial"/>
          <w:color w:val="000000" w:themeColor="text1"/>
          <w:shd w:val="clear" w:color="auto" w:fill="FFFFFF"/>
        </w:rPr>
        <w:t xml:space="preserve"> G, Fraser C. High prevalence disorders in urban and rural </w:t>
      </w:r>
      <w:proofErr w:type="spellStart"/>
      <w:r w:rsidRPr="00ED38CB">
        <w:rPr>
          <w:rFonts w:cs="Arial"/>
          <w:color w:val="000000" w:themeColor="text1"/>
          <w:shd w:val="clear" w:color="auto" w:fill="FFFFFF"/>
        </w:rPr>
        <w:t>communities.</w:t>
      </w:r>
      <w:r w:rsidRPr="00ED38CB">
        <w:rPr>
          <w:rStyle w:val="Emphasis"/>
          <w:rFonts w:cs="Arial"/>
          <w:color w:val="000000" w:themeColor="text1"/>
          <w:shd w:val="clear" w:color="auto" w:fill="FFFFFF"/>
        </w:rPr>
        <w:t>Aust</w:t>
      </w:r>
      <w:proofErr w:type="spellEnd"/>
      <w:r w:rsidRPr="00ED38CB">
        <w:rPr>
          <w:rStyle w:val="Emphasis"/>
          <w:rFonts w:cs="Arial"/>
          <w:color w:val="000000" w:themeColor="text1"/>
          <w:shd w:val="clear" w:color="auto" w:fill="FFFFFF"/>
        </w:rPr>
        <w:t xml:space="preserve"> N Z J Psychiatry.</w:t>
      </w:r>
      <w:r w:rsidRPr="00ED38CB">
        <w:rPr>
          <w:rStyle w:val="apple-converted-space"/>
          <w:rFonts w:cs="Arial"/>
          <w:i/>
          <w:iCs/>
          <w:color w:val="000000" w:themeColor="text1"/>
          <w:shd w:val="clear" w:color="auto" w:fill="FFFFFF"/>
        </w:rPr>
        <w:t> </w:t>
      </w:r>
      <w:r w:rsidRPr="00ED38CB">
        <w:rPr>
          <w:rFonts w:cs="Arial"/>
          <w:color w:val="000000" w:themeColor="text1"/>
          <w:shd w:val="clear" w:color="auto" w:fill="FFFFFF"/>
        </w:rPr>
        <w:t>2002</w:t>
      </w:r>
      <w:proofErr w:type="gramStart"/>
      <w:r w:rsidRPr="00ED38CB">
        <w:rPr>
          <w:rFonts w:cs="Arial"/>
          <w:color w:val="000000" w:themeColor="text1"/>
          <w:shd w:val="clear" w:color="auto" w:fill="FFFFFF"/>
        </w:rPr>
        <w:t>;36:104</w:t>
      </w:r>
      <w:proofErr w:type="gramEnd"/>
      <w:r w:rsidRPr="00ED38CB">
        <w:rPr>
          <w:rFonts w:cs="Arial"/>
          <w:color w:val="000000" w:themeColor="text1"/>
          <w:shd w:val="clear" w:color="auto" w:fill="FFFFFF"/>
        </w:rPr>
        <w:t>–113.</w:t>
      </w:r>
    </w:p>
    <w:p w:rsidR="005A3F6F" w:rsidRPr="00ED38CB" w:rsidRDefault="00B81E45" w:rsidP="00D05829">
      <w:pPr>
        <w:rPr>
          <w:color w:val="000000" w:themeColor="text1"/>
        </w:rPr>
      </w:pPr>
      <w:r w:rsidRPr="00ED38CB">
        <w:rPr>
          <w:color w:val="000000" w:themeColor="text1"/>
        </w:rPr>
        <w:lastRenderedPageBreak/>
        <w:br/>
      </w:r>
      <w:r w:rsidR="00DE285A" w:rsidRPr="00ED38CB">
        <w:rPr>
          <w:color w:val="000000" w:themeColor="text1"/>
        </w:rPr>
        <w:br/>
      </w:r>
      <w:r w:rsidR="00DE285A" w:rsidRPr="00ED38CB">
        <w:rPr>
          <w:color w:val="000000" w:themeColor="text1"/>
        </w:rPr>
        <w:br/>
      </w:r>
    </w:p>
    <w:p w:rsidR="00DE285A" w:rsidRPr="00ED38CB" w:rsidRDefault="00ED38CB" w:rsidP="00611E90">
      <w:pPr>
        <w:rPr>
          <w:color w:val="000000" w:themeColor="text1"/>
        </w:rPr>
      </w:pPr>
      <w:bookmarkStart w:id="1" w:name="_GoBack"/>
      <w:r>
        <w:rPr>
          <w:noProof/>
          <w:color w:val="000000" w:themeColor="text1"/>
          <w:lang w:eastAsia="en-US"/>
        </w:rPr>
        <w:drawing>
          <wp:anchor distT="0" distB="0" distL="114300" distR="114300" simplePos="0" relativeHeight="251661312" behindDoc="0" locked="0" layoutInCell="1" allowOverlap="1" wp14:anchorId="5D5F7591" wp14:editId="322E1837">
            <wp:simplePos x="0" y="0"/>
            <wp:positionH relativeFrom="column">
              <wp:posOffset>1162050</wp:posOffset>
            </wp:positionH>
            <wp:positionV relativeFrom="paragraph">
              <wp:posOffset>1847850</wp:posOffset>
            </wp:positionV>
            <wp:extent cx="3619500" cy="4657090"/>
            <wp:effectExtent l="0" t="0" r="0" b="0"/>
            <wp:wrapThrough wrapText="bothSides">
              <wp:wrapPolygon edited="0">
                <wp:start x="0" y="0"/>
                <wp:lineTo x="0" y="21470"/>
                <wp:lineTo x="21486" y="21470"/>
                <wp:lineTo x="214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thical-advertising.jpg"/>
                    <pic:cNvPicPr/>
                  </pic:nvPicPr>
                  <pic:blipFill>
                    <a:blip r:embed="rId8">
                      <a:extLst>
                        <a:ext uri="{BEBA8EAE-BF5A-486C-A8C5-ECC9F3942E4B}">
                          <a14:imgProps xmlns:a14="http://schemas.microsoft.com/office/drawing/2010/main">
                            <a14:imgLayer r:embed="rId9">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3619500" cy="4657090"/>
                    </a:xfrm>
                    <a:prstGeom prst="rect">
                      <a:avLst/>
                    </a:prstGeom>
                  </pic:spPr>
                </pic:pic>
              </a:graphicData>
            </a:graphic>
            <wp14:sizeRelH relativeFrom="page">
              <wp14:pctWidth>0</wp14:pctWidth>
            </wp14:sizeRelH>
            <wp14:sizeRelV relativeFrom="page">
              <wp14:pctHeight>0</wp14:pctHeight>
            </wp14:sizeRelV>
          </wp:anchor>
        </w:drawing>
      </w:r>
      <w:bookmarkEnd w:id="1"/>
      <w:r w:rsidR="0046046D" w:rsidRPr="00ED38CB">
        <w:rPr>
          <w:color w:val="000000" w:themeColor="text1"/>
        </w:rPr>
        <w:br/>
        <w:t xml:space="preserve">Another unethical graphic is this Burger King </w:t>
      </w:r>
      <w:proofErr w:type="spellStart"/>
      <w:proofErr w:type="gramStart"/>
      <w:r w:rsidR="0046046D" w:rsidRPr="00ED38CB">
        <w:rPr>
          <w:color w:val="000000" w:themeColor="text1"/>
        </w:rPr>
        <w:t>sandw</w:t>
      </w:r>
      <w:r>
        <w:rPr>
          <w:color w:val="000000" w:themeColor="text1"/>
        </w:rPr>
        <w:t>h</w:t>
      </w:r>
      <w:r w:rsidR="0046046D" w:rsidRPr="00ED38CB">
        <w:rPr>
          <w:color w:val="000000" w:themeColor="text1"/>
        </w:rPr>
        <w:t>ich</w:t>
      </w:r>
      <w:proofErr w:type="spellEnd"/>
      <w:proofErr w:type="gramEnd"/>
      <w:r w:rsidR="0046046D" w:rsidRPr="00ED38CB">
        <w:rPr>
          <w:color w:val="000000" w:themeColor="text1"/>
        </w:rPr>
        <w:t xml:space="preserve"> ad which displays </w:t>
      </w:r>
      <w:r w:rsidR="005A3F6F" w:rsidRPr="00ED38CB">
        <w:rPr>
          <w:color w:val="000000" w:themeColor="text1"/>
        </w:rPr>
        <w:t xml:space="preserve">an innuendo for </w:t>
      </w:r>
      <w:r w:rsidR="00611E90" w:rsidRPr="00ED38CB">
        <w:rPr>
          <w:color w:val="000000" w:themeColor="text1"/>
        </w:rPr>
        <w:t xml:space="preserve">oral </w:t>
      </w:r>
      <w:r w:rsidR="005A3F6F" w:rsidRPr="00ED38CB">
        <w:rPr>
          <w:color w:val="000000" w:themeColor="text1"/>
        </w:rPr>
        <w:t>sex rather than out right displaying it.  For a restaurant that sells toys to children and has playground areas designated for the kids, this kind of advertising needs to be heavily scrutinized</w:t>
      </w:r>
      <w:r w:rsidR="00C036FA" w:rsidRPr="00ED38CB">
        <w:rPr>
          <w:color w:val="000000" w:themeColor="text1"/>
        </w:rPr>
        <w:t>.  Kids will be influenced by Burger King</w:t>
      </w:r>
      <w:r w:rsidR="005A3F6F" w:rsidRPr="00ED38CB">
        <w:rPr>
          <w:color w:val="000000" w:themeColor="text1"/>
        </w:rPr>
        <w:t>s ads when they visit and this isn’</w:t>
      </w:r>
      <w:r w:rsidR="00C036FA" w:rsidRPr="00ED38CB">
        <w:rPr>
          <w:color w:val="000000" w:themeColor="text1"/>
        </w:rPr>
        <w:t>t</w:t>
      </w:r>
      <w:r w:rsidR="005A3F6F" w:rsidRPr="00ED38CB">
        <w:rPr>
          <w:color w:val="000000" w:themeColor="text1"/>
        </w:rPr>
        <w:t xml:space="preserve"> the message you want to give off when you are eating from there.  It’s gross, tacky, and overall unethical.  Burger King has a history of controversial ads including the “I Am Man” Commercial.  </w:t>
      </w:r>
    </w:p>
    <w:sectPr w:rsidR="00DE285A" w:rsidRPr="00ED38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CC" w:rsidRDefault="00A31FCC" w:rsidP="00A31FCC">
      <w:pPr>
        <w:spacing w:after="0" w:line="240" w:lineRule="auto"/>
      </w:pPr>
      <w:r>
        <w:separator/>
      </w:r>
    </w:p>
  </w:endnote>
  <w:endnote w:type="continuationSeparator" w:id="0">
    <w:p w:rsidR="00A31FCC" w:rsidRDefault="00A31FCC" w:rsidP="00A3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CC" w:rsidRDefault="00A31FCC" w:rsidP="00A31FCC">
      <w:pPr>
        <w:spacing w:after="0" w:line="240" w:lineRule="auto"/>
      </w:pPr>
      <w:r>
        <w:separator/>
      </w:r>
    </w:p>
  </w:footnote>
  <w:footnote w:type="continuationSeparator" w:id="0">
    <w:p w:rsidR="00A31FCC" w:rsidRDefault="00A31FCC" w:rsidP="00A3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CC" w:rsidRDefault="00A31FCC" w:rsidP="00A31FCC">
    <w:pPr>
      <w:pStyle w:val="Header"/>
    </w:pPr>
    <w:r>
      <w:t>TECM 2700</w:t>
    </w:r>
    <w:r>
      <w:tab/>
    </w:r>
    <w:r>
      <w:tab/>
      <w:t>Friday 10/4/2013</w:t>
    </w:r>
    <w:r>
      <w:tab/>
    </w:r>
  </w:p>
  <w:p w:rsidR="00A31FCC" w:rsidRDefault="00A31FCC">
    <w:pPr>
      <w:pStyle w:val="Header"/>
    </w:pPr>
    <w:r>
      <w:t>Austin Young</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5A"/>
    <w:rsid w:val="002130E6"/>
    <w:rsid w:val="003A3B3D"/>
    <w:rsid w:val="0046046D"/>
    <w:rsid w:val="004B0B66"/>
    <w:rsid w:val="005A3F6F"/>
    <w:rsid w:val="005A73FE"/>
    <w:rsid w:val="00611E90"/>
    <w:rsid w:val="00696D31"/>
    <w:rsid w:val="008F1660"/>
    <w:rsid w:val="00A2122A"/>
    <w:rsid w:val="00A31FCC"/>
    <w:rsid w:val="00B81E45"/>
    <w:rsid w:val="00C00212"/>
    <w:rsid w:val="00C036FA"/>
    <w:rsid w:val="00CF10FE"/>
    <w:rsid w:val="00D05829"/>
    <w:rsid w:val="00DE285A"/>
    <w:rsid w:val="00EB304D"/>
    <w:rsid w:val="00ED38CB"/>
    <w:rsid w:val="00FA0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6BD6B-F761-4E2C-A6A1-812CB6B3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5A"/>
    <w:rPr>
      <w:rFonts w:ascii="Tahoma" w:hAnsi="Tahoma" w:cs="Tahoma"/>
      <w:sz w:val="16"/>
      <w:szCs w:val="16"/>
    </w:rPr>
  </w:style>
  <w:style w:type="paragraph" w:styleId="Header">
    <w:name w:val="header"/>
    <w:basedOn w:val="Normal"/>
    <w:link w:val="HeaderChar"/>
    <w:uiPriority w:val="99"/>
    <w:unhideWhenUsed/>
    <w:rsid w:val="00A3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CC"/>
  </w:style>
  <w:style w:type="paragraph" w:styleId="Footer">
    <w:name w:val="footer"/>
    <w:basedOn w:val="Normal"/>
    <w:link w:val="FooterChar"/>
    <w:uiPriority w:val="99"/>
    <w:unhideWhenUsed/>
    <w:rsid w:val="00A3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CC"/>
  </w:style>
  <w:style w:type="character" w:styleId="Hyperlink">
    <w:name w:val="Hyperlink"/>
    <w:basedOn w:val="DefaultParagraphFont"/>
    <w:uiPriority w:val="99"/>
    <w:semiHidden/>
    <w:unhideWhenUsed/>
    <w:rsid w:val="00D05829"/>
    <w:rPr>
      <w:color w:val="0000FF"/>
      <w:u w:val="single"/>
    </w:rPr>
  </w:style>
  <w:style w:type="paragraph" w:styleId="NormalWeb">
    <w:name w:val="Normal (Web)"/>
    <w:basedOn w:val="Normal"/>
    <w:uiPriority w:val="99"/>
    <w:semiHidden/>
    <w:unhideWhenUsed/>
    <w:rsid w:val="00D0582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ED38CB"/>
    <w:rPr>
      <w:i/>
      <w:iCs/>
    </w:rPr>
  </w:style>
  <w:style w:type="character" w:customStyle="1" w:styleId="apple-converted-space">
    <w:name w:val="apple-converted-space"/>
    <w:basedOn w:val="DefaultParagraphFont"/>
    <w:rsid w:val="00ED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uniteforsight.org/global-health-university/urban-rural-heal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ldhealthsafety.wordpress.com/graph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gab330user</dc:creator>
  <cp:lastModifiedBy>willisicheckin</cp:lastModifiedBy>
  <cp:revision>16</cp:revision>
  <cp:lastPrinted>2013-10-04T16:57:00Z</cp:lastPrinted>
  <dcterms:created xsi:type="dcterms:W3CDTF">2013-10-04T16:28:00Z</dcterms:created>
  <dcterms:modified xsi:type="dcterms:W3CDTF">2013-12-12T16:25:00Z</dcterms:modified>
</cp:coreProperties>
</file>